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CE" w:rsidRDefault="001503CE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CB9" w:rsidRPr="002243F9" w:rsidRDefault="00A2333E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F9">
        <w:rPr>
          <w:rFonts w:ascii="Times New Roman" w:hAnsi="Times New Roman" w:cs="Times New Roman"/>
          <w:b/>
          <w:sz w:val="28"/>
          <w:szCs w:val="28"/>
        </w:rPr>
        <w:t>Об а</w:t>
      </w:r>
      <w:r w:rsidR="001D54EA" w:rsidRPr="002243F9">
        <w:rPr>
          <w:rFonts w:ascii="Times New Roman" w:hAnsi="Times New Roman" w:cs="Times New Roman"/>
          <w:b/>
          <w:sz w:val="28"/>
          <w:szCs w:val="28"/>
        </w:rPr>
        <w:t>ктуальны</w:t>
      </w:r>
      <w:r w:rsidRPr="002243F9">
        <w:rPr>
          <w:rFonts w:ascii="Times New Roman" w:hAnsi="Times New Roman" w:cs="Times New Roman"/>
          <w:b/>
          <w:sz w:val="28"/>
          <w:szCs w:val="28"/>
        </w:rPr>
        <w:t>х</w:t>
      </w:r>
      <w:r w:rsidR="001D54EA" w:rsidRPr="002243F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A87287" w:rsidRPr="002243F9">
        <w:rPr>
          <w:rFonts w:ascii="Times New Roman" w:hAnsi="Times New Roman" w:cs="Times New Roman"/>
          <w:b/>
          <w:sz w:val="28"/>
          <w:szCs w:val="28"/>
        </w:rPr>
        <w:t>ричин</w:t>
      </w:r>
      <w:r w:rsidRPr="002243F9">
        <w:rPr>
          <w:rFonts w:ascii="Times New Roman" w:hAnsi="Times New Roman" w:cs="Times New Roman"/>
          <w:b/>
          <w:sz w:val="28"/>
          <w:szCs w:val="28"/>
        </w:rPr>
        <w:t>ах</w:t>
      </w:r>
      <w:r w:rsidR="00A87287" w:rsidRPr="002243F9">
        <w:rPr>
          <w:rFonts w:ascii="Times New Roman" w:hAnsi="Times New Roman" w:cs="Times New Roman"/>
          <w:b/>
          <w:sz w:val="28"/>
          <w:szCs w:val="28"/>
        </w:rPr>
        <w:t xml:space="preserve"> приостановления учетно-регистрационных действий</w:t>
      </w:r>
      <w:r w:rsidRPr="002243F9">
        <w:rPr>
          <w:rFonts w:ascii="Times New Roman" w:hAnsi="Times New Roman" w:cs="Times New Roman"/>
          <w:b/>
          <w:sz w:val="28"/>
          <w:szCs w:val="28"/>
        </w:rPr>
        <w:t>, рассказали в Управлении Росреестра по Волгоградской области</w:t>
      </w:r>
    </w:p>
    <w:p w:rsidR="00A87287" w:rsidRPr="002243F9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7D1C8C" w:rsidRPr="007D1C8C" w:rsidRDefault="007D1C8C" w:rsidP="007D1C8C">
      <w:pPr>
        <w:shd w:val="clear" w:color="auto" w:fill="FFFFFF"/>
        <w:ind w:firstLine="567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>Управление Росреестра по Волгоградской области с целью повышения уровня правовой грамотности заявителей и минимизации возможных ошибок при подготовке документов для осуществления государственного кадастрового учета и государственной регистрации прав, проводит системную работу по разъяснению причин, влекущих за собой приостановление государственного кадастрового учета и государственной регистрации прав.</w:t>
      </w:r>
    </w:p>
    <w:p w:rsidR="007D1C8C" w:rsidRPr="007D1C8C" w:rsidRDefault="007D1C8C" w:rsidP="007D1C8C">
      <w:pPr>
        <w:shd w:val="clear" w:color="auto" w:fill="FFFFFF"/>
        <w:ind w:firstLine="567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 xml:space="preserve">Одним из распространенных случаев приостановления государственного кадастрового учета и государственной регистрации прав являются основания, предусмотренные пунктом 25 части 1 статьи 26 Федерального закона от 13.07.2015 № 218-ФЗ «О государственной регистрации недвижимости», а именно в представленном акте согласования местоположения границ земельного участка, являющимся частью межевого плана не соблюдена процедура извещения заинтересованных лиц. </w:t>
      </w:r>
    </w:p>
    <w:p w:rsidR="007D1C8C" w:rsidRPr="007D1C8C" w:rsidRDefault="007D1C8C" w:rsidP="007D1C8C">
      <w:pPr>
        <w:shd w:val="clear" w:color="auto" w:fill="FFFFFF"/>
        <w:ind w:firstLine="567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 xml:space="preserve">Согласно части 8 статьи 39 Федерального закона от 24.07.2007 № 221-ФЗ «О кадастровой деятельности» (далее — Закон о кадастре) опубликование извещения о проведении собрания о согласовании местоположения границ допускается в случае, если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границ, направленное заинтересованному лицу посредством почтового отправления, с отметкой о невозможности его вручения. </w:t>
      </w:r>
    </w:p>
    <w:p w:rsidR="007D1C8C" w:rsidRPr="007D1C8C" w:rsidRDefault="007D1C8C" w:rsidP="007D1C8C">
      <w:pPr>
        <w:shd w:val="clear" w:color="auto" w:fill="FFFFFF"/>
        <w:ind w:firstLine="567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>Вместе с тем, кадастровым инженером не направлены извещения по почтовым адресам.</w:t>
      </w:r>
    </w:p>
    <w:p w:rsidR="007D1C8C" w:rsidRPr="007D1C8C" w:rsidRDefault="007D1C8C" w:rsidP="007D1C8C">
      <w:pPr>
        <w:shd w:val="clear" w:color="auto" w:fill="FFFFFF"/>
        <w:ind w:firstLine="567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В нарушение части 3 статьи 40 Закона о кадастре к межевому плану не приложены документы, подтверждающие соблюдение установленного настоящим Федеральным </w:t>
      </w: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>законом порядка</w:t>
      </w: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извещения лица. </w:t>
      </w:r>
    </w:p>
    <w:p w:rsidR="007D1C8C" w:rsidRPr="007D1C8C" w:rsidRDefault="007D1C8C" w:rsidP="007D1C8C">
      <w:pPr>
        <w:shd w:val="clear" w:color="auto" w:fill="FFFFFF"/>
        <w:ind w:firstLine="567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 xml:space="preserve">Данная позиция государственного регистратора прав подтверждается письмом Росреестра от 24 ноября 2020 г. № 13-00416/20 «заинтересованные лица, сведения об адресе электронной почты или о почтовом адресе которых </w:t>
      </w: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lastRenderedPageBreak/>
        <w:t xml:space="preserve">внесены в ЕГРН, должны быть дополнительно уведомлены о проведении согласования местоположения границ земельного участка также путем направления Извещения по таким адресам.» </w:t>
      </w:r>
    </w:p>
    <w:p w:rsidR="007D1C8C" w:rsidRPr="007D1C8C" w:rsidRDefault="007D1C8C" w:rsidP="007D1C8C">
      <w:pPr>
        <w:shd w:val="clear" w:color="auto" w:fill="FFFFFF"/>
        <w:ind w:firstLine="567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>Дополнительно необходимо отметить, что Законом о кадастре не установлено иных исключений, при наличии которых возможно опубликование извещений в газете без направления извещений собственникам смежных земельных участков посредством почтового отправления.</w:t>
      </w:r>
    </w:p>
    <w:p w:rsidR="007D1C8C" w:rsidRPr="007D1C8C" w:rsidRDefault="007D1C8C" w:rsidP="007D1C8C">
      <w:pPr>
        <w:shd w:val="clear" w:color="auto" w:fill="FFFFFF"/>
        <w:ind w:firstLine="567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>В описанной выше ситуации заявителю рекомендовано предоставить межевой план, подготовленный в соответствии с действующим законодательством.</w:t>
      </w:r>
    </w:p>
    <w:p w:rsidR="007D1C8C" w:rsidRPr="007D1C8C" w:rsidRDefault="007D1C8C" w:rsidP="007D1C8C">
      <w:pPr>
        <w:shd w:val="clear" w:color="auto" w:fill="FFFFFF"/>
        <w:ind w:firstLine="567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 w:rsidRPr="007D1C8C">
        <w:rPr>
          <w:rFonts w:ascii="Tinos" w:eastAsia="Tinos" w:hAnsi="Tinos" w:cs="Tinos"/>
          <w:sz w:val="28"/>
          <w:szCs w:val="28"/>
          <w:shd w:val="clear" w:color="auto" w:fill="FFFFFF"/>
        </w:rPr>
        <w:t>Рекомендуем учитывать указанную информацию при подготовке документов для предоставления в орган регистрации.</w:t>
      </w:r>
    </w:p>
    <w:p w:rsidR="001C447C" w:rsidRPr="002243F9" w:rsidRDefault="001C447C" w:rsidP="00A2333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2243F9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243F9">
        <w:rPr>
          <w:rFonts w:ascii="Times New Roman" w:hAnsi="Times New Roman" w:cs="Times New Roman"/>
          <w:sz w:val="28"/>
          <w:szCs w:val="28"/>
        </w:rPr>
        <w:t>,</w:t>
      </w:r>
    </w:p>
    <w:p w:rsidR="00A2333E" w:rsidRPr="002243F9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2243F9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2243F9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3F9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243F9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243F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243F9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243F9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2243F9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243F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243F9" w:rsidSect="00A2333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C8C"/>
    <w:rsid w:val="007D7F5A"/>
    <w:rsid w:val="007E4DF4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26</cp:revision>
  <cp:lastPrinted>2025-06-18T14:39:00Z</cp:lastPrinted>
  <dcterms:created xsi:type="dcterms:W3CDTF">2024-08-30T10:35:00Z</dcterms:created>
  <dcterms:modified xsi:type="dcterms:W3CDTF">2025-07-30T15:16:00Z</dcterms:modified>
</cp:coreProperties>
</file>